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ED3" w:rsidRPr="00B37BDD" w:rsidRDefault="00B37BDD">
      <w:pPr>
        <w:rPr>
          <w:rFonts w:ascii="Times New Roman" w:eastAsia="標楷體" w:hAnsi="Times New Roman" w:cs="Times New Roman"/>
          <w:b/>
          <w:color w:val="0D0D0D" w:themeColor="text1" w:themeTint="F2"/>
        </w:rPr>
      </w:pPr>
      <w:r w:rsidRPr="00B37BDD">
        <w:rPr>
          <w:rFonts w:ascii="Times New Roman" w:eastAsia="標楷體" w:hAnsi="Times New Roman" w:cs="Times New Roman" w:hint="eastAsia"/>
          <w:b/>
          <w:color w:val="0D0D0D" w:themeColor="text1" w:themeTint="F2"/>
        </w:rPr>
        <w:t>附件十七、本校學生違規紀錄與輔導措施</w:t>
      </w:r>
    </w:p>
    <w:p w:rsidR="00B37BDD" w:rsidRDefault="00B37BDD">
      <w:r w:rsidRPr="00B37BDD">
        <w:drawing>
          <wp:inline distT="0" distB="0" distL="0" distR="0" wp14:anchorId="1F7C4936" wp14:editId="3216B6DF">
            <wp:extent cx="6762750" cy="9782847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4456" cy="97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DD" w:rsidRDefault="00B37BDD">
      <w:pPr>
        <w:rPr>
          <w:rFonts w:hint="eastAsia"/>
        </w:rPr>
      </w:pPr>
      <w:r w:rsidRPr="00B37BDD">
        <w:lastRenderedPageBreak/>
        <w:drawing>
          <wp:inline distT="0" distB="0" distL="0" distR="0" wp14:anchorId="2D7BB841" wp14:editId="742F64B2">
            <wp:extent cx="6889115" cy="10187940"/>
            <wp:effectExtent l="0" t="0" r="698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BDD" w:rsidSect="00B37BDD">
      <w:pgSz w:w="11906" w:h="16838"/>
      <w:pgMar w:top="397" w:right="397" w:bottom="397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BDD"/>
    <w:rsid w:val="00210ED3"/>
    <w:rsid w:val="00B3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92757"/>
  <w15:chartTrackingRefBased/>
  <w15:docId w15:val="{F3A01A1F-05FA-4316-BF87-977BBA62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7B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2024-08-26T07:06:00Z</cp:lastPrinted>
  <dcterms:created xsi:type="dcterms:W3CDTF">2024-08-26T07:02:00Z</dcterms:created>
  <dcterms:modified xsi:type="dcterms:W3CDTF">2024-08-26T07:06:00Z</dcterms:modified>
</cp:coreProperties>
</file>