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8D3" w:rsidRPr="000648D3" w:rsidRDefault="000648D3" w:rsidP="000648D3">
      <w:pPr>
        <w:spacing w:line="0" w:lineRule="atLeast"/>
        <w:rPr>
          <w:rFonts w:ascii="Times New Roman" w:eastAsia="標楷體" w:hAnsi="Times New Roman" w:cs="Times New Roman"/>
          <w:b/>
          <w:color w:val="0D0D0D" w:themeColor="text1" w:themeTint="F2"/>
        </w:rPr>
      </w:pPr>
      <w:r w:rsidRPr="000648D3">
        <w:rPr>
          <w:rFonts w:ascii="Times New Roman" w:eastAsia="標楷體" w:hAnsi="Times New Roman" w:cs="Times New Roman" w:hint="eastAsia"/>
          <w:b/>
          <w:color w:val="0D0D0D" w:themeColor="text1" w:themeTint="F2"/>
        </w:rPr>
        <w:t>附件十</w:t>
      </w:r>
      <w:bookmarkStart w:id="0" w:name="_GoBack"/>
      <w:bookmarkEnd w:id="0"/>
      <w:r w:rsidRPr="000648D3">
        <w:rPr>
          <w:rFonts w:ascii="Times New Roman" w:eastAsia="標楷體" w:hAnsi="Times New Roman" w:cs="Times New Roman" w:hint="eastAsia"/>
          <w:b/>
          <w:color w:val="0D0D0D" w:themeColor="text1" w:themeTint="F2"/>
        </w:rPr>
        <w:t>三、本校人車動線規劃說明</w:t>
      </w:r>
    </w:p>
    <w:p w:rsidR="00210ED3" w:rsidRPr="000648D3" w:rsidRDefault="000648D3">
      <w:pPr>
        <w:rPr>
          <w:rFonts w:hint="eastAsia"/>
        </w:rPr>
      </w:pPr>
      <w:r w:rsidRPr="000648D3">
        <w:rPr>
          <w:noProof/>
        </w:rPr>
        <w:drawing>
          <wp:inline distT="0" distB="0" distL="0" distR="0">
            <wp:extent cx="5496560" cy="9822761"/>
            <wp:effectExtent l="0" t="0" r="8890" b="7620"/>
            <wp:docPr id="5" name="圖片 5" descr="G:\112交安評選\附件十三-本校人車動線規劃說明\人車動線規劃說明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2交安評選\附件十三-本校人車動線規劃說明\人車動線規劃說明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"/>
                    <a:stretch/>
                  </pic:blipFill>
                  <pic:spPr bwMode="auto">
                    <a:xfrm>
                      <a:off x="0" y="0"/>
                      <a:ext cx="5496595" cy="98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8D3">
        <w:rPr>
          <w:noProof/>
        </w:rPr>
        <w:lastRenderedPageBreak/>
        <w:drawing>
          <wp:inline distT="0" distB="0" distL="0" distR="0">
            <wp:extent cx="6840000" cy="7977099"/>
            <wp:effectExtent l="0" t="0" r="0" b="5080"/>
            <wp:docPr id="4" name="圖片 4" descr="G:\112交安評選\附件十三-本校人車動線規劃說明\人車動線規劃說明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2交安評選\附件十三-本校人車動線規劃說明\人車動線規劃說明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79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D3">
        <w:rPr>
          <w:noProof/>
        </w:rPr>
        <w:lastRenderedPageBreak/>
        <w:drawing>
          <wp:inline distT="0" distB="0" distL="0" distR="0">
            <wp:extent cx="5439265" cy="10080000"/>
            <wp:effectExtent l="0" t="0" r="9525" b="0"/>
            <wp:docPr id="3" name="圖片 3" descr="G:\112交安評選\附件十三-本校人車動線規劃說明\人車動線規劃說明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2交安評選\附件十三-本校人車動線規劃說明\人車動線規劃說明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65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D3">
        <w:rPr>
          <w:noProof/>
        </w:rPr>
        <w:lastRenderedPageBreak/>
        <w:drawing>
          <wp:inline distT="0" distB="0" distL="0" distR="0">
            <wp:extent cx="6567273" cy="10080000"/>
            <wp:effectExtent l="0" t="0" r="5080" b="0"/>
            <wp:docPr id="2" name="圖片 2" descr="G:\112交安評選\附件十三-本校人車動線規劃說明\人車動線規劃說明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2交安評選\附件十三-本校人車動線規劃說明\人車動線規劃說明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73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D3">
        <w:rPr>
          <w:noProof/>
        </w:rPr>
        <w:lastRenderedPageBreak/>
        <w:drawing>
          <wp:inline distT="0" distB="0" distL="0" distR="0">
            <wp:extent cx="4886275" cy="10080000"/>
            <wp:effectExtent l="0" t="0" r="0" b="0"/>
            <wp:docPr id="1" name="圖片 1" descr="G:\112交安評選\附件十三-本校人車動線規劃說明\人車動線規劃說明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2交安評選\附件十三-本校人車動線規劃說明\人車動線規劃說明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275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ED3" w:rsidRPr="000648D3" w:rsidSect="00D4610A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0A"/>
    <w:rsid w:val="000648D3"/>
    <w:rsid w:val="00210ED3"/>
    <w:rsid w:val="00D4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0B1C2"/>
  <w15:chartTrackingRefBased/>
  <w15:docId w15:val="{AB90A1CF-E1FE-4D8A-8347-C15E60B6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8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8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48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2024-08-26T05:27:00Z</cp:lastPrinted>
  <dcterms:created xsi:type="dcterms:W3CDTF">2024-08-26T04:53:00Z</dcterms:created>
  <dcterms:modified xsi:type="dcterms:W3CDTF">2024-08-26T05:27:00Z</dcterms:modified>
</cp:coreProperties>
</file>